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87F9" w14:textId="77777777" w:rsidR="00E6350D" w:rsidRDefault="002227AE">
      <w:pPr>
        <w:pStyle w:val="Heading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Fuel Cell Experiment </w:t>
      </w:r>
    </w:p>
    <w:p w14:paraId="49552603" w14:textId="77777777" w:rsidR="00E6350D" w:rsidRDefault="002227AE" w:rsidP="00981AEA">
      <w:r>
        <w:t xml:space="preserve"> </w:t>
      </w:r>
    </w:p>
    <w:p w14:paraId="62A010A9" w14:textId="77777777" w:rsidR="00E6350D" w:rsidRPr="00981AEA" w:rsidRDefault="002227AE" w:rsidP="00981AEA">
      <w:r w:rsidRPr="00981AEA">
        <w:t xml:space="preserve">TO:  Engineering Development Branch  </w:t>
      </w:r>
    </w:p>
    <w:p w14:paraId="31AC1FDA" w14:textId="77777777" w:rsidR="00E6350D" w:rsidRDefault="002227AE" w:rsidP="00981AEA">
      <w:r>
        <w:t xml:space="preserve"> </w:t>
      </w:r>
    </w:p>
    <w:p w14:paraId="334EBCB9" w14:textId="77777777" w:rsidR="00E6350D" w:rsidRDefault="002227AE" w:rsidP="00981AEA">
      <w:r>
        <w:t xml:space="preserve">FROM:  Engineering Division </w:t>
      </w:r>
    </w:p>
    <w:p w14:paraId="6EAAC678" w14:textId="77777777" w:rsidR="00E6350D" w:rsidRDefault="002227AE" w:rsidP="00981AEA">
      <w:r>
        <w:t xml:space="preserve"> </w:t>
      </w:r>
    </w:p>
    <w:p w14:paraId="288CCB74" w14:textId="77777777" w:rsidR="00E6350D" w:rsidRDefault="002227AE" w:rsidP="00981AEA">
      <w:r>
        <w:t xml:space="preserve">SUBJECT:  </w:t>
      </w:r>
      <w:r w:rsidR="00D01B3C">
        <w:t>Fuel cell performance</w:t>
      </w:r>
      <w:r>
        <w:rPr>
          <w:b/>
          <w:bCs/>
        </w:rPr>
        <w:t xml:space="preserve"> </w:t>
      </w:r>
    </w:p>
    <w:p w14:paraId="3C65DD4F" w14:textId="77777777" w:rsidR="00E6350D" w:rsidRDefault="002227AE" w:rsidP="00981AEA">
      <w:r>
        <w:t xml:space="preserve"> </w:t>
      </w:r>
    </w:p>
    <w:p w14:paraId="2AE7F412" w14:textId="77777777" w:rsidR="00E6350D" w:rsidRDefault="002227AE" w:rsidP="00981AEA">
      <w:r>
        <w:t xml:space="preserve">The company is considering using a proton exchange membrane (PEM) fuel cell to </w:t>
      </w:r>
      <w:r w:rsidR="00D01B3C">
        <w:t>convert excess</w:t>
      </w:r>
      <w:r>
        <w:t xml:space="preserve"> hydrogen </w:t>
      </w:r>
      <w:r w:rsidR="00D01B3C">
        <w:t>from our refinery to electricity</w:t>
      </w:r>
      <w:r w:rsidR="00702D47">
        <w:t xml:space="preserve">. Space is at a premium and catalyst costs are very high, so the company seeks a fuel cell that has maximum power density. </w:t>
      </w:r>
    </w:p>
    <w:p w14:paraId="1F8B1E3F" w14:textId="77777777" w:rsidR="00E6350D" w:rsidRDefault="002227AE" w:rsidP="00981AEA">
      <w:r>
        <w:t>A small prototype (16 cm</w:t>
      </w:r>
      <w:r>
        <w:rPr>
          <w:position w:val="8"/>
          <w:vertAlign w:val="superscript"/>
        </w:rPr>
        <w:t>2</w:t>
      </w:r>
      <w:r>
        <w:t>)</w:t>
      </w:r>
      <w:r w:rsidR="00702D47">
        <w:t xml:space="preserve"> fuel cell</w:t>
      </w:r>
      <w:r>
        <w:t xml:space="preserve"> provided by the manufacturer in our laboratory</w:t>
      </w:r>
      <w:r w:rsidR="00D01B3C">
        <w:t xml:space="preserve"> is available</w:t>
      </w:r>
      <w:r>
        <w:t xml:space="preserve"> </w:t>
      </w:r>
      <w:r w:rsidR="00702D47">
        <w:t>to estimate the</w:t>
      </w:r>
      <w:r>
        <w:t xml:space="preserve"> fuel cell power output</w:t>
      </w:r>
      <w:r w:rsidR="00702D47">
        <w:t xml:space="preserve"> as a function of reactor conditions within the ranges of</w:t>
      </w:r>
      <w:r w:rsidR="00D01B3C">
        <w:t xml:space="preserve"> 25-75 </w:t>
      </w:r>
      <w:r>
        <w:rPr>
          <w:sz w:val="26"/>
          <w:szCs w:val="26"/>
        </w:rPr>
        <w:t>°</w:t>
      </w:r>
      <w:r>
        <w:t xml:space="preserve">C, 0-10 </w:t>
      </w:r>
      <w:proofErr w:type="spellStart"/>
      <w:r>
        <w:t>psig</w:t>
      </w:r>
      <w:proofErr w:type="spellEnd"/>
      <w:r>
        <w:t>, 60-480 mL/min H</w:t>
      </w:r>
      <w:r>
        <w:rPr>
          <w:position w:val="-8"/>
          <w:vertAlign w:val="subscript"/>
        </w:rPr>
        <w:t>2</w:t>
      </w:r>
      <w:r>
        <w:t>, 200-1600 mL/min air</w:t>
      </w:r>
      <w:r w:rsidR="00702D47">
        <w:t xml:space="preserve">. </w:t>
      </w:r>
    </w:p>
    <w:p w14:paraId="37142A35" w14:textId="77777777" w:rsidR="00E6350D" w:rsidRDefault="002227AE" w:rsidP="00981AEA">
      <w:r>
        <w:t xml:space="preserve">The </w:t>
      </w:r>
      <w:r w:rsidR="00702D47">
        <w:t xml:space="preserve">design </w:t>
      </w:r>
      <w:r>
        <w:t xml:space="preserve">fuel cell in the refinery must provide a net power output of </w:t>
      </w:r>
      <w:r w:rsidR="00702D47">
        <w:t xml:space="preserve">at least </w:t>
      </w:r>
      <w:r>
        <w:t>1</w:t>
      </w:r>
      <w:r w:rsidR="00D01B3C">
        <w:t xml:space="preserve"> </w:t>
      </w:r>
      <w:r>
        <w:t>kW</w:t>
      </w:r>
      <w:r w:rsidR="00702D47">
        <w:t xml:space="preserve">. </w:t>
      </w:r>
      <w:r w:rsidR="00D01B3C">
        <w:t>Your assignment is to use the prototype fuel cell to find the optimum operating conditions of pressure, temperature, and fuel flow rate and the optimal current density that minimizes</w:t>
      </w:r>
      <w:r>
        <w:t xml:space="preserve"> the </w:t>
      </w:r>
      <w:r w:rsidR="00D01B3C">
        <w:t xml:space="preserve">catalyst </w:t>
      </w:r>
      <w:r>
        <w:t>area of required (cm</w:t>
      </w:r>
      <w:r>
        <w:rPr>
          <w:position w:val="8"/>
          <w:vertAlign w:val="superscript"/>
        </w:rPr>
        <w:t>2</w:t>
      </w:r>
      <w:r>
        <w:t>)</w:t>
      </w:r>
      <w:r w:rsidR="00702D47">
        <w:t xml:space="preserve">. </w:t>
      </w:r>
      <w:r w:rsidR="00D01B3C">
        <w:t xml:space="preserve">A great deal of literature suggests the polarization curve </w:t>
      </w:r>
      <w:r w:rsidR="00682D91">
        <w:t xml:space="preserve">(voltage, </w:t>
      </w:r>
      <m:oMath>
        <m:r>
          <w:rPr>
            <w:rFonts w:ascii="Cambria Math" w:hAnsi="Cambria Math"/>
          </w:rPr>
          <m:t>V</m:t>
        </m:r>
      </m:oMath>
      <w:r w:rsidR="00682D91">
        <w:t xml:space="preserve">, vs. current density, </w:t>
      </w:r>
      <m:oMath>
        <m:r>
          <w:rPr>
            <w:rFonts w:ascii="Cambria Math" w:hAnsi="Cambria Math"/>
          </w:rPr>
          <m:t>i</m:t>
        </m:r>
      </m:oMath>
      <w:r w:rsidR="00682D91">
        <w:t xml:space="preserve">) </w:t>
      </w:r>
      <w:r w:rsidR="00D01B3C">
        <w:t xml:space="preserve">for a fuel cell can be </w:t>
      </w:r>
      <w:r w:rsidR="00034C9C">
        <w:t>approximated</w:t>
      </w:r>
      <w:r w:rsidR="00D01B3C">
        <w:t xml:space="preserve"> as</w:t>
      </w:r>
    </w:p>
    <w:p w14:paraId="1BA40C7F" w14:textId="77777777" w:rsidR="00D01B3C" w:rsidRPr="00D01B3C" w:rsidRDefault="00D01B3C" w:rsidP="00D01B3C">
      <w:pPr>
        <w:pStyle w:val="Default"/>
      </w:pPr>
    </w:p>
    <w:p w14:paraId="7F80246C" w14:textId="77777777" w:rsidR="00D01B3C" w:rsidRPr="00D01B3C" w:rsidRDefault="007A7861" w:rsidP="00D01B3C">
      <w:pPr>
        <w:pStyle w:val="Default"/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i</m:t>
          </m:r>
        </m:oMath>
      </m:oMathPara>
    </w:p>
    <w:p w14:paraId="72023D97" w14:textId="77777777" w:rsidR="00D01B3C" w:rsidRPr="00D01B3C" w:rsidRDefault="00D01B3C" w:rsidP="00D01B3C">
      <w:pPr>
        <w:pStyle w:val="Default"/>
      </w:pPr>
    </w:p>
    <w:p w14:paraId="5B01BB85" w14:textId="77777777" w:rsidR="00D01B3C" w:rsidRDefault="00034C9C" w:rsidP="00981AEA">
      <w:r>
        <w:t>However, we</w:t>
      </w:r>
      <w:r w:rsidR="00946B00">
        <w:t xml:space="preserve"> suggest</w:t>
      </w:r>
      <w:r w:rsidR="00D01B3C">
        <w:t xml:space="preserve"> the equation</w:t>
      </w:r>
    </w:p>
    <w:p w14:paraId="6C83CC48" w14:textId="77777777" w:rsidR="00D01B3C" w:rsidRDefault="00D01B3C" w:rsidP="00D01B3C">
      <w:pPr>
        <w:pStyle w:val="Default"/>
      </w:pPr>
    </w:p>
    <w:p w14:paraId="1740E6BC" w14:textId="77777777" w:rsidR="00D01B3C" w:rsidRPr="005659ED" w:rsidRDefault="00246D31" w:rsidP="00D01B3C">
      <w:pPr>
        <w:pStyle w:val="Default"/>
        <w:rPr>
          <w:color w:val="auto"/>
        </w:rPr>
      </w:pPr>
      <m:oMathPara>
        <m:oMath>
          <m:r>
            <w:rPr>
              <w:rFonts w:ascii="Cambria Math" w:hAnsi="Cambria Math"/>
              <w:color w:val="auto"/>
            </w:rPr>
            <m:t>V</m:t>
          </m:r>
          <m:d>
            <m:dPr>
              <m:ctrlPr>
                <w:rPr>
                  <w:rFonts w:ascii="Cambria Math" w:hAnsi="Cambria Math"/>
                  <w:i/>
                  <w:color w:val="auto"/>
                </w:rPr>
              </m:ctrlPr>
            </m:dPr>
            <m:e>
              <m:r>
                <w:rPr>
                  <w:rFonts w:ascii="Cambria Math" w:hAnsi="Cambria Math"/>
                  <w:color w:val="auto"/>
                </w:rPr>
                <m:t>i</m:t>
              </m:r>
            </m:e>
          </m:d>
          <m:r>
            <w:rPr>
              <w:rFonts w:ascii="Cambria Math" w:hAnsi="Cambria Math"/>
              <w:color w:val="auto"/>
            </w:rPr>
            <m:t>=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auto"/>
            </w:rPr>
            <m:t>-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color w:val="auto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arcsinh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auto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auto"/>
                        </w:rPr>
                        <m:t>c</m:t>
                      </m: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3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auto"/>
                    </w:rPr>
                    <m:t>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color w:val="auto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auto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>i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</w:rPr>
                                    <m:t>4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auto"/>
                        </w:rPr>
                        <m:t>γ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  <w:color w:val="auto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auto"/>
                </w:rPr>
              </m:ctrlPr>
            </m:sSubPr>
            <m:e>
              <m:r>
                <w:rPr>
                  <w:rFonts w:ascii="Cambria Math" w:hAnsi="Cambria Math"/>
                  <w:color w:val="auto"/>
                </w:rPr>
                <m:t>c</m:t>
              </m:r>
            </m:e>
            <m:sub>
              <m:r>
                <w:rPr>
                  <w:rFonts w:ascii="Cambria Math" w:hAnsi="Cambria Math"/>
                  <w:color w:val="auto"/>
                </w:rPr>
                <m:t>5</m:t>
              </m:r>
            </m:sub>
          </m:sSub>
          <m:r>
            <w:rPr>
              <w:rFonts w:ascii="Cambria Math" w:hAnsi="Cambria Math"/>
              <w:color w:val="auto"/>
            </w:rPr>
            <m:t>i</m:t>
          </m:r>
        </m:oMath>
      </m:oMathPara>
    </w:p>
    <w:p w14:paraId="2FE08873" w14:textId="77777777" w:rsidR="00682D91" w:rsidRPr="005659ED" w:rsidRDefault="00682D91" w:rsidP="00D01B3C">
      <w:pPr>
        <w:pStyle w:val="Default"/>
        <w:rPr>
          <w:color w:val="auto"/>
        </w:rPr>
      </w:pPr>
    </w:p>
    <w:p w14:paraId="53DF6890" w14:textId="77777777" w:rsidR="003B5DA9" w:rsidRDefault="00682D91" w:rsidP="00981AEA">
      <w:r>
        <w:t xml:space="preserve">where </w:t>
      </w:r>
      <m:oMath>
        <m:r>
          <w:rPr>
            <w:rFonts w:ascii="Cambria Math" w:hAnsi="Cambria Math"/>
          </w:rPr>
          <m:t>γ</m:t>
        </m:r>
      </m:oMath>
      <w:r>
        <w:t xml:space="preserve"> should be 1 for a hydrogen PEM fuel cell. </w:t>
      </w:r>
      <w:r w:rsidR="007A7861">
        <w:t xml:space="preserve">If the prototype cannot measure voltages at high current densities, you can assume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7A7861">
        <w:t xml:space="preserve"> is about 12</w:t>
      </w:r>
      <w:r w:rsidR="00034C9C">
        <w:t>2</w:t>
      </w:r>
      <w:r w:rsidR="007A7861">
        <w:t>5 mA/</w:t>
      </w:r>
      <w:r w:rsidR="007A7861" w:rsidRPr="007A7861">
        <w:t>cm</w:t>
      </w:r>
      <w:r w:rsidR="007A7861" w:rsidRPr="007A7861">
        <w:rPr>
          <w:vertAlign w:val="superscript"/>
        </w:rPr>
        <w:t>2</w:t>
      </w:r>
      <w:r w:rsidR="007A7861">
        <w:t xml:space="preserve">. </w:t>
      </w:r>
      <w:r w:rsidR="00CE7889">
        <w:t xml:space="preserve">The parameters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46D31">
        <w:t xml:space="preserve">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="00246D31">
        <w:t xml:space="preserve"> all depend on temperature and </w:t>
      </w:r>
      <w:r w:rsidR="00CE7889">
        <w:t xml:space="preserve">have typical values of </w:t>
      </w:r>
      <w:r w:rsidR="003C0CD6">
        <w:t>approximately</w:t>
      </w:r>
      <w:r w:rsidR="00CE7889">
        <w:t xml:space="preserve"> 1 V, 0.</w:t>
      </w:r>
      <w:r w:rsidR="00133869">
        <w:t>05</w:t>
      </w:r>
      <w:r w:rsidR="00CE7889">
        <w:t xml:space="preserve"> V, and </w:t>
      </w:r>
      <w:r w:rsidR="003B5DA9">
        <w:t>0.6</w:t>
      </w:r>
      <w:r w:rsidR="00CE7889">
        <w:t xml:space="preserve"> cm/mA</w:t>
      </w:r>
      <w:r w:rsidR="00CE7889">
        <w:rPr>
          <w:vertAlign w:val="superscript"/>
        </w:rPr>
        <w:t>1/2</w:t>
      </w:r>
      <w:r w:rsidR="00246D31">
        <w:t xml:space="preserve">, </w:t>
      </w:r>
      <w:r w:rsidR="003B5DA9">
        <w:t>1200</w:t>
      </w:r>
      <w:r w:rsidR="00246D31">
        <w:t xml:space="preserve"> mA/</w:t>
      </w:r>
      <w:r w:rsidR="00246D31" w:rsidRPr="007A7861">
        <w:t>cm</w:t>
      </w:r>
      <w:r w:rsidR="00246D31" w:rsidRPr="007A7861">
        <w:rPr>
          <w:vertAlign w:val="superscript"/>
        </w:rPr>
        <w:t>2</w:t>
      </w:r>
      <w:r w:rsidR="00246D31">
        <w:rPr>
          <w:vertAlign w:val="superscript"/>
        </w:rPr>
        <w:t xml:space="preserve"> </w:t>
      </w:r>
      <w:r w:rsidR="00246D31" w:rsidRPr="00246D31">
        <w:softHyphen/>
      </w:r>
      <w:r w:rsidR="00246D31">
        <w:t xml:space="preserve">and </w:t>
      </w:r>
      <w:r w:rsidR="003B5DA9">
        <w:t>0.2</w:t>
      </w:r>
      <w:r w:rsidR="00246D31">
        <w:t xml:space="preserve"> </w:t>
      </w:r>
      <w:r w:rsidR="003B5DA9">
        <w:t>m</w:t>
      </w:r>
      <w:r w:rsidR="00246D31">
        <w:t>V mA/</w:t>
      </w:r>
      <w:r w:rsidR="00246D31" w:rsidRPr="00133869">
        <w:t>cm</w:t>
      </w:r>
      <w:r w:rsidR="00246D31" w:rsidRPr="00133869">
        <w:rPr>
          <w:vertAlign w:val="superscript"/>
        </w:rPr>
        <w:t>2</w:t>
      </w:r>
      <w:r w:rsidR="00133869">
        <w:t xml:space="preserve">, respectively, </w:t>
      </w:r>
      <w:r w:rsidR="003C0CD6" w:rsidRPr="00133869">
        <w:t>for</w:t>
      </w:r>
      <w:r w:rsidR="003C0CD6">
        <w:t xml:space="preserve"> </w:t>
      </w:r>
      <w:r w:rsidR="00CE7889">
        <w:t xml:space="preserve">typical </w:t>
      </w:r>
      <w:r w:rsidR="003B5DA9">
        <w:t>air-</w:t>
      </w:r>
      <w:r w:rsidR="003B5DA9" w:rsidRPr="00434B66">
        <w:t>H</w:t>
      </w:r>
      <w:r w:rsidR="003B5DA9" w:rsidRPr="00434B66">
        <w:rPr>
          <w:vertAlign w:val="subscript"/>
        </w:rPr>
        <w:t>2</w:t>
      </w:r>
      <w:r w:rsidR="003B5DA9">
        <w:t xml:space="preserve"> </w:t>
      </w:r>
      <w:r w:rsidR="00CE7889">
        <w:t>PEM fuels cell</w:t>
      </w:r>
      <w:r w:rsidR="003C0CD6">
        <w:t>s at optimal operating conditions</w:t>
      </w:r>
      <w:r w:rsidR="00CE7889">
        <w:t xml:space="preserve">. </w:t>
      </w:r>
      <w:r w:rsidR="003B5DA9">
        <w:t>The fuel cell in the lab likely is less healthy and underperforms the cell indicated by these values.</w:t>
      </w:r>
    </w:p>
    <w:p w14:paraId="3CBB2C69" w14:textId="77777777" w:rsidR="00682D91" w:rsidRDefault="00CE7889" w:rsidP="00981AEA">
      <w:r>
        <w:t xml:space="preserve">This </w:t>
      </w:r>
      <w:r w:rsidR="00682D91">
        <w:t>equation has the following significant advantages and no disadvantages</w:t>
      </w:r>
      <w:r w:rsidR="00946B00">
        <w:t xml:space="preserve"> compared to the previous equation</w:t>
      </w:r>
    </w:p>
    <w:p w14:paraId="73A398A6" w14:textId="77777777" w:rsidR="00682D91" w:rsidRPr="00981AEA" w:rsidRDefault="00682D91" w:rsidP="00981AEA">
      <w:pPr>
        <w:pStyle w:val="ListParagraph"/>
      </w:pPr>
      <w:r w:rsidRPr="00981AEA">
        <w:t>a stronger theoretical basis</w:t>
      </w:r>
      <w:r w:rsidR="007A7861" w:rsidRPr="00981AEA">
        <w:t xml:space="preserve"> (relaxes to</w:t>
      </w:r>
      <w:r w:rsidR="001304AD" w:rsidRPr="00981AEA">
        <w:t xml:space="preserve"> a dimensionally correct version of the </w:t>
      </w:r>
      <w:r w:rsidR="007A7861" w:rsidRPr="00981AEA">
        <w:t>previous equation in the limit of large current density)</w:t>
      </w:r>
      <w:r w:rsidRPr="00981AEA">
        <w:t xml:space="preserve">, </w:t>
      </w:r>
    </w:p>
    <w:p w14:paraId="662416B5" w14:textId="77777777" w:rsidR="00682D91" w:rsidRPr="00981AEA" w:rsidRDefault="00682D91" w:rsidP="00981AEA">
      <w:pPr>
        <w:pStyle w:val="ListParagraph"/>
      </w:pPr>
      <w:r w:rsidRPr="00981AEA">
        <w:t xml:space="preserve">finite value at zero current density, </w:t>
      </w:r>
    </w:p>
    <w:p w14:paraId="11880815" w14:textId="77777777" w:rsidR="00682D91" w:rsidRPr="00981AEA" w:rsidRDefault="00682D91" w:rsidP="00981AEA">
      <w:pPr>
        <w:pStyle w:val="ListParagraph"/>
      </w:pPr>
      <w:r w:rsidRPr="00981AEA">
        <w:t>includes transport effects</w:t>
      </w:r>
    </w:p>
    <w:p w14:paraId="2AAAB771" w14:textId="77777777" w:rsidR="00682D91" w:rsidRPr="00981AEA" w:rsidRDefault="00682D91" w:rsidP="00981AEA">
      <w:pPr>
        <w:pStyle w:val="ListParagraph"/>
      </w:pPr>
      <w:r w:rsidRPr="00981AEA">
        <w:t>transcendental function arguments do not have dimensions</w:t>
      </w:r>
    </w:p>
    <w:p w14:paraId="724C2B29" w14:textId="77777777" w:rsidR="00682D91" w:rsidRDefault="00682D91" w:rsidP="00981AEA"/>
    <w:p w14:paraId="6F20BE2D" w14:textId="77777777" w:rsidR="005659ED" w:rsidRDefault="005659ED" w:rsidP="00981AEA">
      <w:r>
        <w:t xml:space="preserve">The parameters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in this equation are the voltage at zero current density</w:t>
      </w:r>
      <w:r w:rsidR="00682D91">
        <w:t xml:space="preserve"> (V)</w:t>
      </w:r>
      <w:r>
        <w:t xml:space="preserve"> and the maximum current density</w:t>
      </w:r>
      <w:r w:rsidR="00682D91">
        <w:t xml:space="preserve"> (mA/cm</w:t>
      </w:r>
      <w:r w:rsidR="00682D91">
        <w:rPr>
          <w:vertAlign w:val="superscript"/>
        </w:rPr>
        <w:t>2</w:t>
      </w:r>
      <w:r w:rsidR="00682D91">
        <w:t>)</w:t>
      </w:r>
      <w:r>
        <w:t xml:space="preserve">, respectively. The other parameters should be fit to your data. </w:t>
      </w:r>
    </w:p>
    <w:p w14:paraId="562CAEF8" w14:textId="77777777" w:rsidR="00925BC3" w:rsidRDefault="00925BC3" w:rsidP="00925BC3">
      <w:pPr>
        <w:pStyle w:val="Default"/>
      </w:pPr>
    </w:p>
    <w:p w14:paraId="0B414C38" w14:textId="77777777" w:rsidR="00925BC3" w:rsidRPr="00925BC3" w:rsidRDefault="00925BC3" w:rsidP="00925BC3">
      <w:pPr>
        <w:pStyle w:val="Default"/>
      </w:pPr>
    </w:p>
    <w:sectPr w:rsidR="00925BC3" w:rsidRPr="00925BC3">
      <w:type w:val="continuous"/>
      <w:pgSz w:w="12240" w:h="15840"/>
      <w:pgMar w:top="1640" w:right="1440" w:bottom="144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1F62"/>
    <w:multiLevelType w:val="hybridMultilevel"/>
    <w:tmpl w:val="5634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B0975"/>
    <w:multiLevelType w:val="hybridMultilevel"/>
    <w:tmpl w:val="CBA2BB7A"/>
    <w:lvl w:ilvl="0" w:tplc="C47C4A8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6A66"/>
    <w:multiLevelType w:val="hybridMultilevel"/>
    <w:tmpl w:val="2186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7AE"/>
    <w:rsid w:val="00034C9C"/>
    <w:rsid w:val="000C685A"/>
    <w:rsid w:val="001304AD"/>
    <w:rsid w:val="00133869"/>
    <w:rsid w:val="002227AE"/>
    <w:rsid w:val="00246D31"/>
    <w:rsid w:val="003B5DA9"/>
    <w:rsid w:val="003C0CD6"/>
    <w:rsid w:val="00424C19"/>
    <w:rsid w:val="005659ED"/>
    <w:rsid w:val="00682D91"/>
    <w:rsid w:val="00702D47"/>
    <w:rsid w:val="007A7861"/>
    <w:rsid w:val="007B4FBA"/>
    <w:rsid w:val="00925BC3"/>
    <w:rsid w:val="00931C85"/>
    <w:rsid w:val="00946B00"/>
    <w:rsid w:val="00981AEA"/>
    <w:rsid w:val="00CE7889"/>
    <w:rsid w:val="00D01B3C"/>
    <w:rsid w:val="00E54B51"/>
    <w:rsid w:val="00E6350D"/>
    <w:rsid w:val="00EE5808"/>
    <w:rsid w:val="00F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87FBC"/>
  <w14:defaultImageDpi w14:val="0"/>
  <w15:docId w15:val="{1195CBD4-3487-45BA-BFEF-A7D6850B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Default"/>
    <w:uiPriority w:val="99"/>
    <w:qFormat/>
    <w:rsid w:val="00981A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HAnsi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spacing w:before="240" w:after="60"/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01B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AE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Catalytic Methanation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Catalytic Methanation</dc:title>
  <dc:creator>beliveau</dc:creator>
  <cp:lastModifiedBy>Larry Baxter</cp:lastModifiedBy>
  <cp:revision>13</cp:revision>
  <cp:lastPrinted>2017-01-06T16:55:00Z</cp:lastPrinted>
  <dcterms:created xsi:type="dcterms:W3CDTF">2014-03-18T20:52:00Z</dcterms:created>
  <dcterms:modified xsi:type="dcterms:W3CDTF">2020-01-06T18:47:00Z</dcterms:modified>
</cp:coreProperties>
</file>